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82" w:rsidRDefault="00B84082" w:rsidP="007A4175">
      <w:pPr>
        <w:pStyle w:val="Heading1"/>
        <w:spacing w:before="36"/>
        <w:ind w:right="2683" w:hanging="1"/>
      </w:pPr>
      <w:bookmarkStart w:id="0" w:name="Q4_Finance_Committee_Updates_and_Financi"/>
      <w:bookmarkEnd w:id="0"/>
      <w:r>
        <w:t>F</w:t>
      </w:r>
      <w:r w:rsidR="00C646EC">
        <w:t>Y23</w:t>
      </w:r>
      <w:bookmarkStart w:id="1" w:name="_GoBack"/>
      <w:bookmarkEnd w:id="1"/>
      <w:r w:rsidR="007A4175">
        <w:t xml:space="preserve"> Q1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Narrative</w:t>
      </w:r>
      <w:r w:rsidR="00637FBB">
        <w:t>*</w:t>
      </w:r>
    </w:p>
    <w:p w:rsidR="00B84082" w:rsidRDefault="00B84082">
      <w:pPr>
        <w:pStyle w:val="Heading1"/>
        <w:spacing w:before="36"/>
        <w:ind w:right="2683" w:hanging="1"/>
      </w:pPr>
    </w:p>
    <w:p w:rsidR="00FC0C0C" w:rsidRDefault="00B84082">
      <w:pPr>
        <w:pStyle w:val="Heading1"/>
        <w:spacing w:before="36"/>
        <w:ind w:right="2683" w:hanging="1"/>
      </w:pPr>
      <w:r>
        <w:rPr>
          <w:spacing w:val="-2"/>
        </w:rPr>
        <w:t>Updates</w:t>
      </w:r>
    </w:p>
    <w:p w:rsidR="00FC0C0C" w:rsidRDefault="00B84082" w:rsidP="0032155D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/>
        <w:ind w:right="130"/>
      </w:pPr>
      <w:r>
        <w:t>BIAV</w:t>
      </w:r>
      <w:r>
        <w:rPr>
          <w:spacing w:val="-1"/>
        </w:rPr>
        <w:t xml:space="preserve"> </w:t>
      </w:r>
      <w:r w:rsidR="00CE365C">
        <w:t xml:space="preserve">is beginning FY23 with a large </w:t>
      </w:r>
      <w:r w:rsidR="00A5165C">
        <w:t>asset surplus.</w:t>
      </w:r>
      <w:r w:rsidR="00C24227">
        <w:t xml:space="preserve"> </w:t>
      </w:r>
      <w:r w:rsidR="00CE365C">
        <w:t xml:space="preserve">This is largely due to the ERC </w:t>
      </w:r>
      <w:r w:rsidR="00A5165C">
        <w:t>funds secured</w:t>
      </w:r>
      <w:r w:rsidR="00CE365C">
        <w:t xml:space="preserve"> </w:t>
      </w:r>
      <w:r w:rsidR="00A5165C">
        <w:t xml:space="preserve">during </w:t>
      </w:r>
      <w:r w:rsidR="00CE365C">
        <w:t>FY22.</w:t>
      </w:r>
      <w:r w:rsidR="00C24227">
        <w:t xml:space="preserve"> We are curre</w:t>
      </w:r>
      <w:r w:rsidR="002B489B">
        <w:t xml:space="preserve">ntly observing an asset surplus about </w:t>
      </w:r>
      <w:r w:rsidR="00C24227">
        <w:t xml:space="preserve">$160,000 greater than during this period last year. </w:t>
      </w:r>
    </w:p>
    <w:p w:rsidR="00D95426" w:rsidRDefault="00D95426" w:rsidP="0032155D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"/>
        <w:ind w:right="130"/>
      </w:pPr>
      <w:r>
        <w:t>Our expenditures for this period are lower than what we budgeted</w:t>
      </w:r>
      <w:r w:rsidR="002B489B">
        <w:t xml:space="preserve"> (see expenditures for more detail).</w:t>
      </w:r>
      <w:r w:rsidR="00637FBB">
        <w:t xml:space="preserve"> </w:t>
      </w:r>
    </w:p>
    <w:p w:rsidR="00FC0C0C" w:rsidRDefault="00372C1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 w:right="162" w:hanging="361"/>
      </w:pPr>
      <w:r>
        <w:t xml:space="preserve">BIAV currently has four staff enrolled in the SIMPLE IRA. Three more staff will become eligible and are planning to enroll in </w:t>
      </w:r>
      <w:r w:rsidR="00DE0D0B">
        <w:t>January</w:t>
      </w:r>
      <w:r>
        <w:t xml:space="preserve">, 2023. </w:t>
      </w:r>
    </w:p>
    <w:p w:rsidR="00637FBB" w:rsidRDefault="00637FBB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 w:right="162" w:hanging="361"/>
      </w:pPr>
      <w:r>
        <w:t xml:space="preserve">We received </w:t>
      </w:r>
      <w:r w:rsidR="00960626">
        <w:t xml:space="preserve">small </w:t>
      </w:r>
      <w:r>
        <w:t>refunds from Anthem</w:t>
      </w:r>
      <w:r w:rsidR="00960626">
        <w:t xml:space="preserve"> ($901)</w:t>
      </w:r>
      <w:r>
        <w:t xml:space="preserve"> and Marke</w:t>
      </w:r>
      <w:r w:rsidR="00960626">
        <w:t>l ($454) related to adjustments in our portfolio. These adjustments are not a major source of deviation from the budget.</w:t>
      </w:r>
    </w:p>
    <w:p w:rsidR="00290891" w:rsidRDefault="00290891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 w:right="162" w:hanging="361"/>
      </w:pPr>
      <w:r>
        <w:t xml:space="preserve">The Annual Golf Tournament grossed over $35,000. We are still waiting on final expenses from Salisbury to determine net profit. Note this is slightly lower than what we earned last year, due to fewer registrants and one less $3,000 ‘Title’ Sponsor. </w:t>
      </w:r>
    </w:p>
    <w:p w:rsidR="00FC0C0C" w:rsidRDefault="00FC0C0C">
      <w:pPr>
        <w:pStyle w:val="BodyText"/>
        <w:spacing w:before="12"/>
        <w:ind w:left="0" w:firstLine="0"/>
        <w:rPr>
          <w:sz w:val="21"/>
        </w:rPr>
      </w:pPr>
    </w:p>
    <w:p w:rsidR="00FC0C0C" w:rsidRPr="009E36DA" w:rsidRDefault="00B84082">
      <w:pPr>
        <w:pStyle w:val="Heading1"/>
      </w:pPr>
      <w:bookmarkStart w:id="2" w:name="Assets"/>
      <w:bookmarkEnd w:id="2"/>
      <w:r w:rsidRPr="009E36DA">
        <w:rPr>
          <w:spacing w:val="-2"/>
        </w:rPr>
        <w:t>Assets</w:t>
      </w:r>
    </w:p>
    <w:p w:rsidR="00FC0C0C" w:rsidRPr="009E36DA" w:rsidRDefault="00AC4E51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left="840" w:right="181" w:hanging="361"/>
      </w:pPr>
      <w:r w:rsidRPr="009E36DA">
        <w:t>We ha</w:t>
      </w:r>
      <w:r w:rsidR="003B0CC8" w:rsidRPr="009E36DA">
        <w:t>ve $254,101</w:t>
      </w:r>
      <w:r w:rsidR="006D1D42" w:rsidRPr="009E36DA">
        <w:t xml:space="preserve"> in the Atlantic U</w:t>
      </w:r>
      <w:r w:rsidR="003B0CC8" w:rsidRPr="009E36DA">
        <w:t>nion reserves, and $38,427</w:t>
      </w:r>
      <w:r w:rsidRPr="009E36DA">
        <w:t xml:space="preserve"> in the Truist reserves. We </w:t>
      </w:r>
      <w:r w:rsidR="00B84082" w:rsidRPr="009E36DA">
        <w:t>have $5</w:t>
      </w:r>
      <w:r w:rsidR="003B0CC8" w:rsidRPr="009E36DA">
        <w:t>23</w:t>
      </w:r>
      <w:r w:rsidR="00B84082" w:rsidRPr="009E36DA">
        <w:t>,</w:t>
      </w:r>
      <w:r w:rsidR="003B0CC8" w:rsidRPr="009E36DA">
        <w:t>468</w:t>
      </w:r>
      <w:r w:rsidR="00B84082" w:rsidRPr="009E36DA">
        <w:t xml:space="preserve"> in the Atlantic Union operating</w:t>
      </w:r>
      <w:r w:rsidR="00B84082" w:rsidRPr="009E36DA">
        <w:rPr>
          <w:spacing w:val="-3"/>
        </w:rPr>
        <w:t xml:space="preserve"> </w:t>
      </w:r>
      <w:r w:rsidR="00B84082" w:rsidRPr="009E36DA">
        <w:t>account,</w:t>
      </w:r>
      <w:r w:rsidR="00B84082" w:rsidRPr="009E36DA">
        <w:rPr>
          <w:spacing w:val="-2"/>
        </w:rPr>
        <w:t xml:space="preserve"> </w:t>
      </w:r>
      <w:r w:rsidR="00B84082" w:rsidRPr="009E36DA">
        <w:t>and</w:t>
      </w:r>
      <w:r w:rsidR="00B84082" w:rsidRPr="009E36DA">
        <w:rPr>
          <w:spacing w:val="-3"/>
        </w:rPr>
        <w:t xml:space="preserve"> </w:t>
      </w:r>
      <w:r w:rsidR="00B84082" w:rsidRPr="009E36DA">
        <w:t>$</w:t>
      </w:r>
      <w:r w:rsidR="003B0CC8" w:rsidRPr="009E36DA">
        <w:t>18,971</w:t>
      </w:r>
      <w:r w:rsidR="00B84082" w:rsidRPr="009E36DA">
        <w:rPr>
          <w:spacing w:val="-1"/>
        </w:rPr>
        <w:t xml:space="preserve"> </w:t>
      </w:r>
      <w:r w:rsidR="00B84082" w:rsidRPr="009E36DA">
        <w:t>in</w:t>
      </w:r>
      <w:r w:rsidR="00B84082" w:rsidRPr="009E36DA">
        <w:rPr>
          <w:spacing w:val="-3"/>
        </w:rPr>
        <w:t xml:space="preserve"> </w:t>
      </w:r>
      <w:r w:rsidR="00B84082" w:rsidRPr="009E36DA">
        <w:t>the</w:t>
      </w:r>
      <w:r w:rsidR="00B84082" w:rsidRPr="009E36DA">
        <w:rPr>
          <w:spacing w:val="-4"/>
        </w:rPr>
        <w:t xml:space="preserve"> </w:t>
      </w:r>
      <w:r w:rsidR="00B84082" w:rsidRPr="009E36DA">
        <w:t>Truist</w:t>
      </w:r>
      <w:r w:rsidR="00B84082" w:rsidRPr="009E36DA">
        <w:rPr>
          <w:spacing w:val="-4"/>
        </w:rPr>
        <w:t xml:space="preserve"> </w:t>
      </w:r>
      <w:r w:rsidR="00B84082" w:rsidRPr="009E36DA">
        <w:t>operating</w:t>
      </w:r>
      <w:r w:rsidR="00B84082" w:rsidRPr="009E36DA">
        <w:rPr>
          <w:spacing w:val="-3"/>
        </w:rPr>
        <w:t xml:space="preserve"> </w:t>
      </w:r>
      <w:r w:rsidR="00B84082" w:rsidRPr="009E36DA">
        <w:t>account.</w:t>
      </w:r>
      <w:r w:rsidR="00B84082" w:rsidRPr="009E36DA">
        <w:rPr>
          <w:spacing w:val="-4"/>
        </w:rPr>
        <w:t xml:space="preserve"> </w:t>
      </w:r>
      <w:r w:rsidR="00B84082" w:rsidRPr="009E36DA">
        <w:t>Of</w:t>
      </w:r>
      <w:r w:rsidR="00B84082" w:rsidRPr="009E36DA">
        <w:rPr>
          <w:spacing w:val="-2"/>
        </w:rPr>
        <w:t xml:space="preserve"> </w:t>
      </w:r>
      <w:r w:rsidR="00B84082" w:rsidRPr="009E36DA">
        <w:t>the</w:t>
      </w:r>
      <w:r w:rsidR="00B84082" w:rsidRPr="009E36DA">
        <w:rPr>
          <w:spacing w:val="-4"/>
        </w:rPr>
        <w:t xml:space="preserve"> $</w:t>
      </w:r>
      <w:r w:rsidR="00B84082" w:rsidRPr="009E36DA">
        <w:t>5</w:t>
      </w:r>
      <w:r w:rsidR="003B0CC8" w:rsidRPr="009E36DA">
        <w:t>42</w:t>
      </w:r>
      <w:r w:rsidRPr="009E36DA">
        <w:t>,</w:t>
      </w:r>
      <w:r w:rsidR="003B0CC8" w:rsidRPr="009E36DA">
        <w:t xml:space="preserve">440 </w:t>
      </w:r>
      <w:r w:rsidR="00B84082" w:rsidRPr="009E36DA">
        <w:t>in the operating accounts, $</w:t>
      </w:r>
      <w:r w:rsidR="009E36DA" w:rsidRPr="009E36DA">
        <w:t>89,856</w:t>
      </w:r>
      <w:r w:rsidR="00B84082" w:rsidRPr="009E36DA">
        <w:t xml:space="preserve"> is </w:t>
      </w:r>
      <w:r w:rsidR="009E36DA" w:rsidRPr="009E36DA">
        <w:t>restricted</w:t>
      </w:r>
      <w:r w:rsidR="00B84082" w:rsidRPr="009E36DA">
        <w:t>. This means we have $444,8</w:t>
      </w:r>
      <w:r w:rsidRPr="009E36DA">
        <w:t>81</w:t>
      </w:r>
      <w:r w:rsidR="00B84082" w:rsidRPr="009E36DA">
        <w:t xml:space="preserve"> in unrestricted funds, roughly enough to carry 8 months of operating expenses. This is $</w:t>
      </w:r>
      <w:r w:rsidR="009E36DA" w:rsidRPr="009E36DA">
        <w:t>7,703 (1.7%</w:t>
      </w:r>
      <w:r w:rsidR="00B84082" w:rsidRPr="009E36DA">
        <w:t xml:space="preserve">) </w:t>
      </w:r>
      <w:r w:rsidR="009E36DA" w:rsidRPr="009E36DA">
        <w:t xml:space="preserve">less </w:t>
      </w:r>
      <w:r w:rsidR="00B84082" w:rsidRPr="009E36DA">
        <w:t xml:space="preserve">than </w:t>
      </w:r>
      <w:r w:rsidR="009E36DA" w:rsidRPr="009E36DA">
        <w:t>Q4 FY22</w:t>
      </w:r>
      <w:r w:rsidR="00B84082" w:rsidRPr="009E36DA">
        <w:t>.</w:t>
      </w:r>
    </w:p>
    <w:p w:rsidR="00FC0C0C" w:rsidRPr="009E36DA" w:rsidRDefault="00B84082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line="279" w:lineRule="exact"/>
        <w:ind w:left="841" w:hanging="364"/>
      </w:pPr>
      <w:r w:rsidRPr="009E36DA">
        <w:t>Total</w:t>
      </w:r>
      <w:r w:rsidRPr="009E36DA">
        <w:rPr>
          <w:spacing w:val="-15"/>
        </w:rPr>
        <w:t xml:space="preserve"> </w:t>
      </w:r>
      <w:r w:rsidRPr="009E36DA">
        <w:t>assets</w:t>
      </w:r>
      <w:r w:rsidRPr="009E36DA">
        <w:rPr>
          <w:spacing w:val="-10"/>
        </w:rPr>
        <w:t xml:space="preserve"> </w:t>
      </w:r>
      <w:r w:rsidRPr="009E36DA">
        <w:t>sum</w:t>
      </w:r>
      <w:r w:rsidRPr="009E36DA">
        <w:rPr>
          <w:spacing w:val="-5"/>
        </w:rPr>
        <w:t xml:space="preserve"> </w:t>
      </w:r>
      <w:r w:rsidRPr="009E36DA">
        <w:t>to</w:t>
      </w:r>
      <w:r w:rsidRPr="009E36DA">
        <w:rPr>
          <w:spacing w:val="-7"/>
        </w:rPr>
        <w:t xml:space="preserve"> </w:t>
      </w:r>
      <w:r w:rsidR="009E36DA" w:rsidRPr="009E36DA">
        <w:t>$875</w:t>
      </w:r>
      <w:r w:rsidRPr="009E36DA">
        <w:t>,3</w:t>
      </w:r>
      <w:r w:rsidR="009E36DA" w:rsidRPr="009E36DA">
        <w:t>04</w:t>
      </w:r>
      <w:r w:rsidRPr="009E36DA">
        <w:t>,</w:t>
      </w:r>
      <w:r w:rsidRPr="009E36DA">
        <w:rPr>
          <w:spacing w:val="-11"/>
        </w:rPr>
        <w:t xml:space="preserve"> </w:t>
      </w:r>
      <w:r w:rsidRPr="009E36DA">
        <w:t>which</w:t>
      </w:r>
      <w:r w:rsidRPr="009E36DA">
        <w:rPr>
          <w:spacing w:val="-9"/>
        </w:rPr>
        <w:t xml:space="preserve"> </w:t>
      </w:r>
      <w:r w:rsidRPr="009E36DA">
        <w:t>is</w:t>
      </w:r>
      <w:r w:rsidRPr="009E36DA">
        <w:rPr>
          <w:spacing w:val="-11"/>
        </w:rPr>
        <w:t xml:space="preserve"> </w:t>
      </w:r>
      <w:r w:rsidRPr="009E36DA">
        <w:t>$16</w:t>
      </w:r>
      <w:r w:rsidR="009E36DA" w:rsidRPr="009E36DA">
        <w:t>2</w:t>
      </w:r>
      <w:r w:rsidRPr="009E36DA">
        <w:t>,</w:t>
      </w:r>
      <w:r w:rsidR="009E36DA" w:rsidRPr="009E36DA">
        <w:t>026</w:t>
      </w:r>
      <w:r w:rsidRPr="009E36DA">
        <w:rPr>
          <w:spacing w:val="-8"/>
        </w:rPr>
        <w:t xml:space="preserve"> </w:t>
      </w:r>
      <w:r w:rsidRPr="009E36DA">
        <w:t>(2</w:t>
      </w:r>
      <w:r w:rsidR="009E36DA" w:rsidRPr="009E36DA">
        <w:t>2</w:t>
      </w:r>
      <w:r w:rsidRPr="009E36DA">
        <w:t>.</w:t>
      </w:r>
      <w:r w:rsidR="009E36DA" w:rsidRPr="009E36DA">
        <w:t>7</w:t>
      </w:r>
      <w:r w:rsidRPr="009E36DA">
        <w:t>%)</w:t>
      </w:r>
      <w:r w:rsidRPr="009E36DA">
        <w:rPr>
          <w:spacing w:val="-12"/>
        </w:rPr>
        <w:t xml:space="preserve"> </w:t>
      </w:r>
      <w:r w:rsidRPr="009E36DA">
        <w:t>more</w:t>
      </w:r>
      <w:r w:rsidRPr="009E36DA">
        <w:rPr>
          <w:spacing w:val="-7"/>
        </w:rPr>
        <w:t xml:space="preserve"> </w:t>
      </w:r>
      <w:r w:rsidRPr="009E36DA">
        <w:t>than</w:t>
      </w:r>
      <w:r w:rsidRPr="009E36DA">
        <w:rPr>
          <w:spacing w:val="-8"/>
        </w:rPr>
        <w:t xml:space="preserve"> </w:t>
      </w:r>
      <w:r w:rsidRPr="009E36DA">
        <w:t>during</w:t>
      </w:r>
      <w:r w:rsidRPr="009E36DA">
        <w:rPr>
          <w:spacing w:val="-8"/>
        </w:rPr>
        <w:t xml:space="preserve"> </w:t>
      </w:r>
      <w:r w:rsidRPr="009E36DA">
        <w:t>this</w:t>
      </w:r>
      <w:r w:rsidRPr="009E36DA">
        <w:rPr>
          <w:spacing w:val="-6"/>
        </w:rPr>
        <w:t xml:space="preserve"> </w:t>
      </w:r>
      <w:r w:rsidRPr="009E36DA">
        <w:t>period</w:t>
      </w:r>
      <w:r w:rsidRPr="009E36DA">
        <w:rPr>
          <w:spacing w:val="-9"/>
        </w:rPr>
        <w:t xml:space="preserve"> </w:t>
      </w:r>
      <w:r w:rsidRPr="009E36DA">
        <w:t>last</w:t>
      </w:r>
      <w:r w:rsidRPr="009E36DA">
        <w:rPr>
          <w:spacing w:val="-9"/>
        </w:rPr>
        <w:t xml:space="preserve"> </w:t>
      </w:r>
      <w:r w:rsidRPr="009E36DA">
        <w:rPr>
          <w:spacing w:val="-2"/>
        </w:rPr>
        <w:t>year.</w:t>
      </w:r>
    </w:p>
    <w:p w:rsidR="00FC0C0C" w:rsidRDefault="00FC0C0C">
      <w:pPr>
        <w:pStyle w:val="BodyText"/>
        <w:spacing w:before="1"/>
        <w:ind w:left="0" w:firstLine="0"/>
        <w:rPr>
          <w:sz w:val="38"/>
        </w:rPr>
      </w:pPr>
    </w:p>
    <w:p w:rsidR="00FC0C0C" w:rsidRDefault="00B84082">
      <w:pPr>
        <w:pStyle w:val="Heading1"/>
      </w:pPr>
      <w:bookmarkStart w:id="3" w:name="Income_Year_to_Date"/>
      <w:bookmarkEnd w:id="3"/>
      <w:r>
        <w:t>Income</w:t>
      </w:r>
      <w:r>
        <w:rPr>
          <w:spacing w:val="-1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Date</w:t>
      </w:r>
    </w:p>
    <w:p w:rsidR="00E5663F" w:rsidRDefault="00B84082" w:rsidP="00E5663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46"/>
      </w:pPr>
      <w:r>
        <w:t>BIAV</w:t>
      </w:r>
      <w:r>
        <w:rPr>
          <w:spacing w:val="-2"/>
        </w:rPr>
        <w:t xml:space="preserve"> </w:t>
      </w:r>
      <w:r w:rsidR="00637FBB">
        <w:rPr>
          <w:spacing w:val="-2"/>
        </w:rPr>
        <w:t xml:space="preserve">finished </w:t>
      </w:r>
      <w:r w:rsidR="009E36DA">
        <w:rPr>
          <w:spacing w:val="-2"/>
        </w:rPr>
        <w:t xml:space="preserve">the </w:t>
      </w:r>
      <w:r w:rsidR="00637FBB">
        <w:rPr>
          <w:spacing w:val="-2"/>
        </w:rPr>
        <w:t>period</w:t>
      </w:r>
      <w:r>
        <w:rPr>
          <w:spacing w:val="-2"/>
        </w:rPr>
        <w:t xml:space="preserve"> with </w:t>
      </w:r>
      <w:r w:rsidR="0032155D" w:rsidRPr="0032155D">
        <w:t>$</w:t>
      </w:r>
      <w:r w:rsidR="009E36DA">
        <w:t xml:space="preserve">15,590 </w:t>
      </w:r>
      <w:r>
        <w:t>in</w:t>
      </w:r>
      <w:r>
        <w:rPr>
          <w:spacing w:val="-3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revenue</w:t>
      </w:r>
      <w:r w:rsidR="009E36DA">
        <w:t>. This is $2,287 (17.1%) higher than during this period last year</w:t>
      </w:r>
      <w:r w:rsidR="00E5663F">
        <w:t>.</w:t>
      </w:r>
    </w:p>
    <w:p w:rsidR="00E5663F" w:rsidRDefault="00E5663F" w:rsidP="00E5663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46"/>
      </w:pPr>
      <w:r>
        <w:t>We do not expect any major deviations to our net revenue across FY23, however we are putting effort into membership and education that may realize as increased revenue.</w:t>
      </w:r>
    </w:p>
    <w:p w:rsidR="00E5663F" w:rsidRPr="00E5663F" w:rsidRDefault="00E5663F" w:rsidP="00E5663F">
      <w:pPr>
        <w:pStyle w:val="ListParagraph"/>
        <w:tabs>
          <w:tab w:val="left" w:pos="840"/>
          <w:tab w:val="left" w:pos="841"/>
        </w:tabs>
        <w:ind w:left="835" w:right="446" w:firstLine="0"/>
      </w:pPr>
    </w:p>
    <w:p w:rsidR="00FC0C0C" w:rsidRDefault="00B84082">
      <w:pPr>
        <w:pStyle w:val="Heading1"/>
        <w:ind w:left="119"/>
        <w:rPr>
          <w:spacing w:val="-4"/>
        </w:rPr>
      </w:pPr>
      <w:bookmarkStart w:id="4" w:name="Expenses_Year_to_Date"/>
      <w:bookmarkEnd w:id="4"/>
      <w:r>
        <w:t>Expenses</w:t>
      </w:r>
      <w:r>
        <w:rPr>
          <w:spacing w:val="-7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Date</w:t>
      </w:r>
    </w:p>
    <w:p w:rsidR="002B489B" w:rsidRDefault="002B489B" w:rsidP="002B489B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1"/>
        <w:ind w:right="130"/>
      </w:pPr>
      <w:r>
        <w:t>Expenditures are down compared with the budget, resulting in an almost $16,000 surplus in our net operating revenue versus the $12,600 deficit predicted by the</w:t>
      </w:r>
      <w:r w:rsidR="00B112C7">
        <w:t xml:space="preserve"> budget. This is because we</w:t>
      </w:r>
      <w:r>
        <w:t xml:space="preserve"> have not realized part of some major expenses (i.e. IRA costs, site rentals, and professional fees). </w:t>
      </w:r>
    </w:p>
    <w:p w:rsidR="002B489B" w:rsidRPr="002B489B" w:rsidRDefault="002B489B" w:rsidP="002B489B">
      <w:pPr>
        <w:pStyle w:val="Heading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These expenditures will even out as these expenses </w:t>
      </w:r>
      <w:r w:rsidR="00A57665">
        <w:rPr>
          <w:b w:val="0"/>
        </w:rPr>
        <w:t>are</w:t>
      </w:r>
      <w:r>
        <w:rPr>
          <w:b w:val="0"/>
        </w:rPr>
        <w:t xml:space="preserve"> realized </w:t>
      </w:r>
      <w:r w:rsidR="00960626">
        <w:rPr>
          <w:b w:val="0"/>
        </w:rPr>
        <w:t>throughout</w:t>
      </w:r>
      <w:r>
        <w:rPr>
          <w:b w:val="0"/>
        </w:rPr>
        <w:t xml:space="preserve"> FY23</w:t>
      </w:r>
      <w:r w:rsidR="00960626">
        <w:rPr>
          <w:b w:val="0"/>
        </w:rPr>
        <w:t>.</w:t>
      </w:r>
    </w:p>
    <w:p w:rsidR="00FC0C0C" w:rsidRDefault="00FC0C0C" w:rsidP="00637FBB">
      <w:pPr>
        <w:tabs>
          <w:tab w:val="left" w:pos="1560"/>
        </w:tabs>
      </w:pPr>
    </w:p>
    <w:p w:rsidR="00637FBB" w:rsidRDefault="00637FBB" w:rsidP="00637FBB">
      <w:pPr>
        <w:tabs>
          <w:tab w:val="left" w:pos="1560"/>
        </w:tabs>
      </w:pPr>
    </w:p>
    <w:p w:rsidR="00637FBB" w:rsidRDefault="00637FBB" w:rsidP="00637FBB">
      <w:pPr>
        <w:tabs>
          <w:tab w:val="left" w:pos="1560"/>
        </w:tabs>
      </w:pPr>
    </w:p>
    <w:p w:rsidR="00637FBB" w:rsidRDefault="00637FBB" w:rsidP="00637FBB">
      <w:pPr>
        <w:tabs>
          <w:tab w:val="left" w:pos="1560"/>
        </w:tabs>
        <w:rPr>
          <w:i/>
        </w:rPr>
      </w:pPr>
    </w:p>
    <w:p w:rsidR="00637FBB" w:rsidRDefault="00637FBB" w:rsidP="00637FBB">
      <w:pPr>
        <w:tabs>
          <w:tab w:val="left" w:pos="1560"/>
        </w:tabs>
        <w:rPr>
          <w:i/>
        </w:rPr>
      </w:pPr>
    </w:p>
    <w:p w:rsidR="00637FBB" w:rsidRDefault="00637FBB" w:rsidP="00637FBB">
      <w:pPr>
        <w:tabs>
          <w:tab w:val="left" w:pos="1560"/>
        </w:tabs>
        <w:rPr>
          <w:i/>
        </w:rPr>
      </w:pPr>
    </w:p>
    <w:p w:rsidR="00637FBB" w:rsidRDefault="00637FBB" w:rsidP="00637FBB">
      <w:pPr>
        <w:tabs>
          <w:tab w:val="left" w:pos="1560"/>
        </w:tabs>
        <w:rPr>
          <w:i/>
        </w:rPr>
      </w:pPr>
    </w:p>
    <w:p w:rsidR="00637FBB" w:rsidRDefault="00637FBB" w:rsidP="00637FBB">
      <w:pPr>
        <w:tabs>
          <w:tab w:val="left" w:pos="1560"/>
        </w:tabs>
        <w:rPr>
          <w:i/>
        </w:rPr>
      </w:pPr>
    </w:p>
    <w:p w:rsidR="00637FBB" w:rsidRPr="00637FBB" w:rsidRDefault="00637FBB" w:rsidP="00637FBB">
      <w:pPr>
        <w:tabs>
          <w:tab w:val="left" w:pos="1560"/>
        </w:tabs>
        <w:rPr>
          <w:i/>
        </w:rPr>
      </w:pPr>
      <w:r w:rsidRPr="00637FBB">
        <w:rPr>
          <w:i/>
        </w:rPr>
        <w:t>*Financial reports covering the period of 07/01/2022 – 08/31/2022</w:t>
      </w:r>
    </w:p>
    <w:sectPr w:rsidR="00637FBB" w:rsidRPr="00637FBB">
      <w:type w:val="continuous"/>
      <w:pgSz w:w="12240" w:h="15840"/>
      <w:pgMar w:top="136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364"/>
    <w:multiLevelType w:val="hybridMultilevel"/>
    <w:tmpl w:val="38688032"/>
    <w:lvl w:ilvl="0" w:tplc="7DCEBEFA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58BF64">
      <w:numFmt w:val="bullet"/>
      <w:lvlText w:val="o"/>
      <w:lvlJc w:val="left"/>
      <w:pPr>
        <w:ind w:left="1559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7823070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3" w:tplc="834EB6CA">
      <w:numFmt w:val="bullet"/>
      <w:lvlText w:val="•"/>
      <w:lvlJc w:val="left"/>
      <w:pPr>
        <w:ind w:left="3311" w:hanging="363"/>
      </w:pPr>
      <w:rPr>
        <w:rFonts w:hint="default"/>
        <w:lang w:val="en-US" w:eastAsia="en-US" w:bidi="ar-SA"/>
      </w:rPr>
    </w:lvl>
    <w:lvl w:ilvl="4" w:tplc="DB6085DE">
      <w:numFmt w:val="bullet"/>
      <w:lvlText w:val="•"/>
      <w:lvlJc w:val="left"/>
      <w:pPr>
        <w:ind w:left="4186" w:hanging="363"/>
      </w:pPr>
      <w:rPr>
        <w:rFonts w:hint="default"/>
        <w:lang w:val="en-US" w:eastAsia="en-US" w:bidi="ar-SA"/>
      </w:rPr>
    </w:lvl>
    <w:lvl w:ilvl="5" w:tplc="2848CCE2">
      <w:numFmt w:val="bullet"/>
      <w:lvlText w:val="•"/>
      <w:lvlJc w:val="left"/>
      <w:pPr>
        <w:ind w:left="5062" w:hanging="363"/>
      </w:pPr>
      <w:rPr>
        <w:rFonts w:hint="default"/>
        <w:lang w:val="en-US" w:eastAsia="en-US" w:bidi="ar-SA"/>
      </w:rPr>
    </w:lvl>
    <w:lvl w:ilvl="6" w:tplc="73C0155A">
      <w:numFmt w:val="bullet"/>
      <w:lvlText w:val="•"/>
      <w:lvlJc w:val="left"/>
      <w:pPr>
        <w:ind w:left="5937" w:hanging="363"/>
      </w:pPr>
      <w:rPr>
        <w:rFonts w:hint="default"/>
        <w:lang w:val="en-US" w:eastAsia="en-US" w:bidi="ar-SA"/>
      </w:rPr>
    </w:lvl>
    <w:lvl w:ilvl="7" w:tplc="A4748572">
      <w:numFmt w:val="bullet"/>
      <w:lvlText w:val="•"/>
      <w:lvlJc w:val="left"/>
      <w:pPr>
        <w:ind w:left="6813" w:hanging="363"/>
      </w:pPr>
      <w:rPr>
        <w:rFonts w:hint="default"/>
        <w:lang w:val="en-US" w:eastAsia="en-US" w:bidi="ar-SA"/>
      </w:rPr>
    </w:lvl>
    <w:lvl w:ilvl="8" w:tplc="0A42D746">
      <w:numFmt w:val="bullet"/>
      <w:lvlText w:val="•"/>
      <w:lvlJc w:val="left"/>
      <w:pPr>
        <w:ind w:left="768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43D03BB"/>
    <w:multiLevelType w:val="hybridMultilevel"/>
    <w:tmpl w:val="B10E0A5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84641FB"/>
    <w:multiLevelType w:val="hybridMultilevel"/>
    <w:tmpl w:val="D7DE056C"/>
    <w:lvl w:ilvl="0" w:tplc="80829666">
      <w:numFmt w:val="bullet"/>
      <w:lvlText w:val=""/>
      <w:lvlJc w:val="left"/>
      <w:pPr>
        <w:ind w:left="835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14EDA2">
      <w:numFmt w:val="bullet"/>
      <w:lvlText w:val="•"/>
      <w:lvlJc w:val="left"/>
      <w:pPr>
        <w:ind w:left="1700" w:hanging="344"/>
      </w:pPr>
      <w:rPr>
        <w:rFonts w:hint="default"/>
        <w:lang w:val="en-US" w:eastAsia="en-US" w:bidi="ar-SA"/>
      </w:rPr>
    </w:lvl>
    <w:lvl w:ilvl="2" w:tplc="24CE35D4">
      <w:numFmt w:val="bullet"/>
      <w:lvlText w:val="•"/>
      <w:lvlJc w:val="left"/>
      <w:pPr>
        <w:ind w:left="2560" w:hanging="344"/>
      </w:pPr>
      <w:rPr>
        <w:rFonts w:hint="default"/>
        <w:lang w:val="en-US" w:eastAsia="en-US" w:bidi="ar-SA"/>
      </w:rPr>
    </w:lvl>
    <w:lvl w:ilvl="3" w:tplc="7F205B70">
      <w:numFmt w:val="bullet"/>
      <w:lvlText w:val="•"/>
      <w:lvlJc w:val="left"/>
      <w:pPr>
        <w:ind w:left="3420" w:hanging="344"/>
      </w:pPr>
      <w:rPr>
        <w:rFonts w:hint="default"/>
        <w:lang w:val="en-US" w:eastAsia="en-US" w:bidi="ar-SA"/>
      </w:rPr>
    </w:lvl>
    <w:lvl w:ilvl="4" w:tplc="3F4A5E54">
      <w:numFmt w:val="bullet"/>
      <w:lvlText w:val="•"/>
      <w:lvlJc w:val="left"/>
      <w:pPr>
        <w:ind w:left="4280" w:hanging="344"/>
      </w:pPr>
      <w:rPr>
        <w:rFonts w:hint="default"/>
        <w:lang w:val="en-US" w:eastAsia="en-US" w:bidi="ar-SA"/>
      </w:rPr>
    </w:lvl>
    <w:lvl w:ilvl="5" w:tplc="1BF63536">
      <w:numFmt w:val="bullet"/>
      <w:lvlText w:val="•"/>
      <w:lvlJc w:val="left"/>
      <w:pPr>
        <w:ind w:left="5140" w:hanging="344"/>
      </w:pPr>
      <w:rPr>
        <w:rFonts w:hint="default"/>
        <w:lang w:val="en-US" w:eastAsia="en-US" w:bidi="ar-SA"/>
      </w:rPr>
    </w:lvl>
    <w:lvl w:ilvl="6" w:tplc="AE1C1C1A">
      <w:numFmt w:val="bullet"/>
      <w:lvlText w:val="•"/>
      <w:lvlJc w:val="left"/>
      <w:pPr>
        <w:ind w:left="6000" w:hanging="344"/>
      </w:pPr>
      <w:rPr>
        <w:rFonts w:hint="default"/>
        <w:lang w:val="en-US" w:eastAsia="en-US" w:bidi="ar-SA"/>
      </w:rPr>
    </w:lvl>
    <w:lvl w:ilvl="7" w:tplc="9C8C423C">
      <w:numFmt w:val="bullet"/>
      <w:lvlText w:val="•"/>
      <w:lvlJc w:val="left"/>
      <w:pPr>
        <w:ind w:left="6860" w:hanging="344"/>
      </w:pPr>
      <w:rPr>
        <w:rFonts w:hint="default"/>
        <w:lang w:val="en-US" w:eastAsia="en-US" w:bidi="ar-SA"/>
      </w:rPr>
    </w:lvl>
    <w:lvl w:ilvl="8" w:tplc="5E460F06">
      <w:numFmt w:val="bullet"/>
      <w:lvlText w:val="•"/>
      <w:lvlJc w:val="left"/>
      <w:pPr>
        <w:ind w:left="7720" w:hanging="3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C"/>
    <w:rsid w:val="00290891"/>
    <w:rsid w:val="002B489B"/>
    <w:rsid w:val="0032155D"/>
    <w:rsid w:val="00372C18"/>
    <w:rsid w:val="003B0CC8"/>
    <w:rsid w:val="00637FBB"/>
    <w:rsid w:val="006D1D42"/>
    <w:rsid w:val="007A4175"/>
    <w:rsid w:val="007E4E86"/>
    <w:rsid w:val="00960626"/>
    <w:rsid w:val="009E36DA"/>
    <w:rsid w:val="00A5165C"/>
    <w:rsid w:val="00A57665"/>
    <w:rsid w:val="00AC4E51"/>
    <w:rsid w:val="00B112C7"/>
    <w:rsid w:val="00B84082"/>
    <w:rsid w:val="00BC3EA7"/>
    <w:rsid w:val="00C24227"/>
    <w:rsid w:val="00C646EC"/>
    <w:rsid w:val="00C81225"/>
    <w:rsid w:val="00CE365C"/>
    <w:rsid w:val="00D95426"/>
    <w:rsid w:val="00DE0D0B"/>
    <w:rsid w:val="00E5663F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CD7A7-9948-4431-B237-E7F1182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7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dc:description/>
  <cp:lastModifiedBy>Tim Williams</cp:lastModifiedBy>
  <cp:revision>13</cp:revision>
  <cp:lastPrinted>2022-10-12T14:30:00Z</cp:lastPrinted>
  <dcterms:created xsi:type="dcterms:W3CDTF">2022-10-11T19:49:00Z</dcterms:created>
  <dcterms:modified xsi:type="dcterms:W3CDTF">2022-10-14T16:04:00Z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2022-07-23T00:00:00Z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D:20220503140347</vt:lpwstr>
  </property>
</Properties>
</file>